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7" w:rsidRDefault="00344C97" w:rsidP="002E430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2272F"/>
          <w:sz w:val="26"/>
          <w:szCs w:val="26"/>
          <w:lang w:eastAsia="ru-RU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3175</wp:posOffset>
            </wp:positionV>
            <wp:extent cx="807085" cy="9461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0B" w:rsidRPr="00344C97" w:rsidRDefault="002E430B" w:rsidP="002E430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344C97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АДМИНИСТРАЦИЯ</w:t>
      </w:r>
    </w:p>
    <w:p w:rsidR="002E430B" w:rsidRPr="00344C97" w:rsidRDefault="002E430B" w:rsidP="002E430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344C97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ПРОХОРСКОГО СЕЛЬСКОГО ПОСЕЛЕНИЯ </w:t>
      </w:r>
    </w:p>
    <w:p w:rsidR="002E430B" w:rsidRPr="00344C97" w:rsidRDefault="00E75728" w:rsidP="002E430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344C97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СПАССКОГО</w:t>
      </w:r>
      <w:r w:rsidR="002E430B" w:rsidRPr="00344C97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 МУНИЦИПАЛЬНОГО РАЙОНА</w:t>
      </w:r>
    </w:p>
    <w:p w:rsidR="002E430B" w:rsidRDefault="002E430B" w:rsidP="002E430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44C97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ПРИМОРСКОГО КРАЯ</w:t>
      </w:r>
    </w:p>
    <w:p w:rsidR="002E430B" w:rsidRDefault="002E430B" w:rsidP="002E4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2E430B" w:rsidRPr="00344C97" w:rsidRDefault="00810151" w:rsidP="002E4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344C97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3134"/>
        <w:gridCol w:w="3109"/>
      </w:tblGrid>
      <w:tr w:rsidR="002E430B" w:rsidTr="002E430B">
        <w:tc>
          <w:tcPr>
            <w:tcW w:w="3190" w:type="dxa"/>
          </w:tcPr>
          <w:p w:rsidR="002E430B" w:rsidRPr="006E364A" w:rsidRDefault="00344C97" w:rsidP="00344C97">
            <w:pPr>
              <w:pStyle w:val="a4"/>
              <w:spacing w:before="100" w:beforeAutospacing="1" w:after="100" w:afterAutospacing="1"/>
              <w:ind w:left="-108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24 июня 2019 года</w:t>
            </w:r>
          </w:p>
        </w:tc>
        <w:tc>
          <w:tcPr>
            <w:tcW w:w="3190" w:type="dxa"/>
          </w:tcPr>
          <w:p w:rsidR="002E430B" w:rsidRDefault="002E430B" w:rsidP="002E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с.Прохоры</w:t>
            </w:r>
          </w:p>
        </w:tc>
        <w:tc>
          <w:tcPr>
            <w:tcW w:w="3191" w:type="dxa"/>
          </w:tcPr>
          <w:p w:rsidR="002E430B" w:rsidRDefault="00344C97" w:rsidP="002E43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68-па</w:t>
            </w:r>
          </w:p>
        </w:tc>
      </w:tr>
    </w:tbl>
    <w:p w:rsidR="002E430B" w:rsidRPr="002E430B" w:rsidRDefault="002E430B" w:rsidP="002E4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2E430B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"Об утверждении Плана мероприятий ("дорожной карты") "Изменения в отраслях социальной сферы, направленные на повышение эффективности культуры в Прохорском сельском поселении Спасского муниципального района"</w:t>
      </w:r>
    </w:p>
    <w:p w:rsidR="002E430B" w:rsidRDefault="002E430B" w:rsidP="0046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целях реализации </w:t>
      </w:r>
      <w:hyperlink r:id="rId6" w:anchor="/document/70170950/entry/0" w:history="1">
        <w:r w:rsidRPr="002E430B">
          <w:rPr>
            <w:rFonts w:ascii="Times New Roman" w:eastAsia="Times New Roman" w:hAnsi="Times New Roman" w:cs="Times New Roman"/>
            <w:color w:val="734C9B"/>
            <w:sz w:val="26"/>
            <w:szCs w:val="26"/>
            <w:lang w:eastAsia="ru-RU"/>
          </w:rPr>
          <w:t>Указа</w:t>
        </w:r>
      </w:hyperlink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Президента Российской Федерации от 7 мая 2012 года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№</w:t>
      </w: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597 "О мерах по реализации </w:t>
      </w:r>
      <w:r w:rsidR="0030462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государственной </w:t>
      </w: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социальной политики" и во исполнение Перечня поручений Президента Российской Федерации от 27 декабря 2013 года N Пр-3086</w:t>
      </w:r>
      <w:r w:rsidR="0030462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распоряжения администрации Приморского края от 21 августа 2014 года № 295-ра «Об утверждении Плана мероприятий («дорожной карты») «Изменения в отраслях социальной сферы, направленные на повышение эффективности культуры в </w:t>
      </w:r>
      <w:r w:rsidR="00E7572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Приморском крае</w:t>
      </w:r>
      <w:r w:rsidR="0030462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», на основании Устава Прохорского сельского поселения, администрации Прохорского сельского поселения:  </w:t>
      </w:r>
    </w:p>
    <w:p w:rsidR="00DA2EB7" w:rsidRPr="002E430B" w:rsidRDefault="00DA2EB7" w:rsidP="0046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2E430B" w:rsidRPr="002E430B" w:rsidRDefault="002E430B" w:rsidP="0046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 Утвердить прилагаемый </w:t>
      </w:r>
      <w:hyperlink r:id="rId7" w:anchor="/document/48020030/entry/1000" w:history="1">
        <w:r w:rsidRPr="002E430B">
          <w:rPr>
            <w:rFonts w:ascii="Times New Roman" w:eastAsia="Times New Roman" w:hAnsi="Times New Roman" w:cs="Times New Roman"/>
            <w:color w:val="734C9B"/>
            <w:sz w:val="26"/>
            <w:szCs w:val="26"/>
            <w:lang w:eastAsia="ru-RU"/>
          </w:rPr>
          <w:t>План</w:t>
        </w:r>
      </w:hyperlink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мероприятий ("дорожную карту") "Изменения в отраслях социальной сферы, направленные на повышение эффективности культуры в </w:t>
      </w:r>
      <w:r w:rsidR="0030462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Прохорском сельском поселении</w:t>
      </w: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".</w:t>
      </w:r>
    </w:p>
    <w:p w:rsidR="002E430B" w:rsidRPr="002E430B" w:rsidRDefault="002E430B" w:rsidP="0046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 </w:t>
      </w:r>
      <w:r w:rsidR="0030462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Муниципальному казенному учреждению «Центр культурно-досуговой и спортивной деятельности» Прохорского сельского поселения</w:t>
      </w: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:</w:t>
      </w:r>
    </w:p>
    <w:p w:rsidR="002E430B" w:rsidRPr="002E430B" w:rsidRDefault="002E430B" w:rsidP="0046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2.1. Обеспечить реализацию </w:t>
      </w:r>
      <w:hyperlink r:id="rId8" w:anchor="/document/48020030/entry/1000" w:history="1">
        <w:r w:rsidRPr="002E430B">
          <w:rPr>
            <w:rFonts w:ascii="Times New Roman" w:eastAsia="Times New Roman" w:hAnsi="Times New Roman" w:cs="Times New Roman"/>
            <w:color w:val="734C9B"/>
            <w:sz w:val="26"/>
            <w:szCs w:val="26"/>
            <w:lang w:eastAsia="ru-RU"/>
          </w:rPr>
          <w:t>Плана</w:t>
        </w:r>
      </w:hyperlink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мероприятий ("дорожной карты") "Изменения в отраслях социальной сферы, направленные на повышение эффективности культуры в </w:t>
      </w:r>
      <w:r w:rsidR="0030462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Прохорском сельском поселении</w:t>
      </w: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", утвержденного настоящим распоряжением;</w:t>
      </w:r>
    </w:p>
    <w:p w:rsidR="002E430B" w:rsidRDefault="002E430B" w:rsidP="0046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2.2. Осуществлять мониторинг реализации </w:t>
      </w:r>
      <w:hyperlink r:id="rId9" w:anchor="/document/48020030/entry/1000" w:history="1">
        <w:r w:rsidRPr="002E430B">
          <w:rPr>
            <w:rFonts w:ascii="Times New Roman" w:eastAsia="Times New Roman" w:hAnsi="Times New Roman" w:cs="Times New Roman"/>
            <w:color w:val="734C9B"/>
            <w:sz w:val="26"/>
            <w:szCs w:val="26"/>
            <w:lang w:eastAsia="ru-RU"/>
          </w:rPr>
          <w:t>Плана</w:t>
        </w:r>
      </w:hyperlink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мероприятий ("дорожной карты") "Изменения в отраслях социальной сферы, направленные на повышение эффективности культуры в </w:t>
      </w:r>
      <w:r w:rsidR="0030462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Прохорском сельском поселении</w:t>
      </w: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", утвержденного настоящим распоряжением.</w:t>
      </w:r>
    </w:p>
    <w:p w:rsidR="00344C97" w:rsidRPr="002E430B" w:rsidRDefault="00344C97" w:rsidP="00466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 Настоящее постановление вступает в силу с момента опубликования </w:t>
      </w:r>
      <w:r w:rsidR="00413FE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 официальном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сайте администрации Прохорского сельского поселения в сети интернет и распространяет свои правоотношения, возникшие с 05 апреля 2019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E430B" w:rsidRPr="002E430B" w:rsidTr="002E430B">
        <w:tc>
          <w:tcPr>
            <w:tcW w:w="3300" w:type="pct"/>
            <w:shd w:val="clear" w:color="auto" w:fill="FFFFFF"/>
            <w:vAlign w:val="bottom"/>
            <w:hideMark/>
          </w:tcPr>
          <w:p w:rsidR="00DA2EB7" w:rsidRDefault="00DA2EB7" w:rsidP="0046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  <w:p w:rsidR="002E430B" w:rsidRDefault="0030462E" w:rsidP="0046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Глава администрации Прохорского сельского поселения</w:t>
            </w:r>
          </w:p>
          <w:p w:rsidR="0030462E" w:rsidRPr="002E430B" w:rsidRDefault="0030462E" w:rsidP="0046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E430B" w:rsidRPr="002E430B" w:rsidRDefault="0030462E" w:rsidP="0046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В.В. Кобзарь</w:t>
            </w:r>
          </w:p>
        </w:tc>
      </w:tr>
    </w:tbl>
    <w:p w:rsidR="0046674B" w:rsidRDefault="0046674B" w:rsidP="004667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22272F"/>
          <w:position w:val="6"/>
          <w:sz w:val="26"/>
          <w:szCs w:val="26"/>
          <w:lang w:eastAsia="ru-RU"/>
        </w:rPr>
      </w:pPr>
    </w:p>
    <w:p w:rsidR="00DA2EB7" w:rsidRDefault="0046674B" w:rsidP="00DA2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position w:val="6"/>
          <w:sz w:val="26"/>
          <w:szCs w:val="26"/>
          <w:lang w:eastAsia="ru-RU"/>
        </w:rPr>
        <w:br w:type="page"/>
      </w:r>
      <w:r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lastRenderedPageBreak/>
        <w:t xml:space="preserve">Утвержден </w:t>
      </w:r>
      <w:r w:rsidR="00810151"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>постановлением</w:t>
      </w:r>
    </w:p>
    <w:p w:rsidR="00DA2EB7" w:rsidRDefault="0046674B" w:rsidP="00DA2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 xml:space="preserve"> </w:t>
      </w:r>
      <w:r w:rsidR="0030462E"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>а</w:t>
      </w:r>
      <w:r w:rsidR="002E430B"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 xml:space="preserve">дминистрации </w:t>
      </w:r>
      <w:r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>Прохорского</w:t>
      </w:r>
      <w:r w:rsidR="0030462E"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 xml:space="preserve"> сельского</w:t>
      </w:r>
    </w:p>
    <w:p w:rsidR="002E430B" w:rsidRDefault="0030462E" w:rsidP="00DA2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 xml:space="preserve"> поселения</w:t>
      </w:r>
      <w:r w:rsidR="0046674B"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 xml:space="preserve"> </w:t>
      </w:r>
      <w:r w:rsidR="00810151"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>от 24 июня</w:t>
      </w:r>
      <w:r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 xml:space="preserve"> 2019</w:t>
      </w:r>
      <w:r w:rsidR="002E430B"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> г.</w:t>
      </w:r>
      <w:r w:rsidR="00344C97"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 xml:space="preserve"> № 68-п</w:t>
      </w:r>
      <w:r w:rsidR="002E430B" w:rsidRPr="0046674B"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  <w:t>а</w:t>
      </w:r>
    </w:p>
    <w:p w:rsidR="0046674B" w:rsidRPr="0046674B" w:rsidRDefault="0046674B" w:rsidP="00DA2EB7">
      <w:pPr>
        <w:shd w:val="clear" w:color="auto" w:fill="FFFFFF"/>
        <w:spacing w:after="0" w:line="240" w:lineRule="auto"/>
        <w:ind w:left="552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position w:val="6"/>
          <w:sz w:val="26"/>
          <w:szCs w:val="26"/>
          <w:lang w:eastAsia="ru-RU"/>
        </w:rPr>
      </w:pPr>
    </w:p>
    <w:p w:rsidR="002E430B" w:rsidRPr="0046674B" w:rsidRDefault="0046674B" w:rsidP="004667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План </w:t>
      </w:r>
      <w:r w:rsidR="002E430B" w:rsidRPr="004667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мероприятий ("дорожн</w:t>
      </w:r>
      <w:r w:rsidR="00F134E9" w:rsidRPr="004667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ая карта") "Изменения в отрасли</w:t>
      </w:r>
      <w:r w:rsidR="002E430B" w:rsidRPr="004667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социальной сфер</w:t>
      </w:r>
      <w:r w:rsidR="00F134E9" w:rsidRPr="004667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ы, направленных</w:t>
      </w:r>
      <w:r w:rsidR="002E430B" w:rsidRPr="004667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на повышение эффективности культуры в </w:t>
      </w:r>
      <w:r w:rsidR="0030462E" w:rsidRPr="004667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Прохорском сельском поселении</w:t>
      </w:r>
      <w:r w:rsidR="002E430B" w:rsidRPr="004667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"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I. Цели Плана мероприятий ("дорожн</w:t>
      </w:r>
      <w:r w:rsidR="00D358D0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 карты") "Изменения в отрасли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социальной сферы, направленные на повышение эффективности культуры в 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Прохорском сельском поселении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Целями Плана мероприятий ("дорожн</w:t>
      </w:r>
      <w:r w:rsidR="00C169B4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 карты") "Изменения в отрасли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социальной сферы, направленные на повышение эффективности культуры в 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Прохорском сельском поселении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 (далее - "дорожная карта") являются: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условий для дальнейшего развития культуры в 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Прохорском сельском поселении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сохранения национально-культурных традиций в целях формирования духовно-нравственных ориентиров граждан;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стратегической роли культуры как духовно-нравственного основания развития личности и государства, единства российского общества;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достойной оп</w:t>
      </w:r>
      <w:r w:rsidR="00C169B4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латы труда работников учреждения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культуры, как результат повышения качес</w:t>
      </w:r>
      <w:r w:rsidR="00C169B4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тва и количества оказываемых им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169B4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муниципальных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услуг;</w:t>
      </w:r>
    </w:p>
    <w:p w:rsidR="002E430B" w:rsidRPr="0046674B" w:rsidRDefault="00C169B4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формирование и </w:t>
      </w:r>
      <w:r w:rsidR="002E430B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и 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кадрового потенциала учреждения</w:t>
      </w:r>
      <w:r w:rsidR="002E430B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культуры;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повышение престижности и привлекательности профессий в сфере культуры.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II. Проведение структурных реформ в сфере культуры Приморского края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повышения качества предоставляемых населению </w:t>
      </w:r>
      <w:r w:rsidR="00D333E6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муниципальных 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услуг в сфере культуры и эффективного осуществления бюджетных расходов принята </w:t>
      </w:r>
      <w:r w:rsidR="00413FE7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муниципальная программа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"Развитие культуры </w:t>
      </w:r>
      <w:r w:rsidR="002868E9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413FE7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территории Прохорского</w:t>
      </w:r>
      <w:r w:rsidR="002868E9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5366E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Спасского муниципального района 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201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-20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годы" (далее - программа). В рамках реализ</w:t>
      </w:r>
      <w:r w:rsidR="0084774A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ации программы предусматривается проведение следующих мероприятий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272C2D" w:rsidRPr="0046674B" w:rsidRDefault="00847216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272C2D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финансовое обеспечение сметы расходов муниципального казённого учреждения культуры (МКУ «ЦКДИСД» ПСП по участию и проведению:</w:t>
      </w:r>
    </w:p>
    <w:p w:rsidR="0084774A" w:rsidRPr="0046674B" w:rsidRDefault="00272C2D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выставок, смотров, вечеров, ярмарок, конкурсов;</w:t>
      </w:r>
    </w:p>
    <w:p w:rsidR="00272C2D" w:rsidRPr="0046674B" w:rsidRDefault="00272C2D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концертов, концертных программ и иных зрелищных мероприятий;</w:t>
      </w:r>
    </w:p>
    <w:p w:rsidR="00272C2D" w:rsidRPr="0046674B" w:rsidRDefault="00272C2D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обеспечению кружковой работы в деятельности сельских клубов;</w:t>
      </w:r>
    </w:p>
    <w:p w:rsidR="00272C2D" w:rsidRPr="0046674B" w:rsidRDefault="00272C2D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выявление и развитие детей имеющих творческих потенциал, поддержка одарённых и талантливых детей.</w:t>
      </w:r>
    </w:p>
    <w:p w:rsidR="0084774A" w:rsidRPr="0046674B" w:rsidRDefault="0084774A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430B" w:rsidRPr="0046674B" w:rsidRDefault="00847216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2E430B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повышение качества и расширение сп</w:t>
      </w:r>
      <w:bookmarkStart w:id="0" w:name="_GoBack"/>
      <w:bookmarkEnd w:id="0"/>
      <w:r w:rsidR="002E430B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ектра услуг в сфере культуры путем укрепления материально-технической базы учреждений культуры;</w:t>
      </w:r>
    </w:p>
    <w:p w:rsidR="002E430B" w:rsidRPr="0046674B" w:rsidRDefault="00847216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2E430B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социально значимых мероприятий;</w:t>
      </w:r>
    </w:p>
    <w:p w:rsidR="002E430B" w:rsidRPr="0046674B" w:rsidRDefault="00847216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2E430B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условий для творческой самореализации граждан (обеспечение участия творческих коллективов, талантливых 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детей</w:t>
      </w:r>
      <w:r w:rsidR="002E430B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межрайонных, краевых,</w:t>
      </w:r>
      <w:r w:rsidR="002E430B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фестивалях, конкурсах, выставках народного творчества); 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III. Целевые показатели (индикаторы) развития сферы культуры и меры, обеспечивающие их достижение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Увеличение</w:t>
      </w:r>
      <w:r w:rsidR="006E364A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удельного веса посещаемости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учреждений культуры (по сравнению с предыдущим годом</w:t>
      </w:r>
      <w:r w:rsidR="00FC57C7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0944D5" w:rsidRPr="0046674B" w:rsidRDefault="000944D5" w:rsidP="004667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(процентов)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3125"/>
        <w:gridCol w:w="3612"/>
      </w:tblGrid>
      <w:tr w:rsidR="0046674B" w:rsidRPr="0046674B" w:rsidTr="0046674B">
        <w:trPr>
          <w:trHeight w:val="333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</w:t>
            </w:r>
          </w:p>
        </w:tc>
      </w:tr>
      <w:tr w:rsidR="0046674B" w:rsidRPr="0046674B" w:rsidTr="0046674B">
        <w:trPr>
          <w:trHeight w:val="31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</w:t>
            </w:r>
          </w:p>
        </w:tc>
      </w:tr>
    </w:tbl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Увеличение численности участников культурно-досуговых мероприятий (по сравнению с предыдущим годом):</w:t>
      </w:r>
    </w:p>
    <w:p w:rsidR="000944D5" w:rsidRPr="0046674B" w:rsidRDefault="000944D5" w:rsidP="004667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(процентов)</w:t>
      </w: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46674B" w:rsidRPr="0046674B" w:rsidTr="004667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</w:t>
            </w:r>
          </w:p>
        </w:tc>
      </w:tr>
      <w:tr w:rsidR="0046674B" w:rsidRPr="0046674B" w:rsidTr="0046674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4,3</w:t>
            </w:r>
          </w:p>
        </w:tc>
      </w:tr>
    </w:tbl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Повышение уровня удовлетворенности граждан 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Прохорского сельского </w:t>
      </w:r>
      <w:r w:rsidR="00F642D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 качеством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предоставления муниципальных услуг в сфере культуры:</w:t>
      </w:r>
    </w:p>
    <w:p w:rsidR="000944D5" w:rsidRPr="0046674B" w:rsidRDefault="000944D5" w:rsidP="004667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(процентов)</w:t>
      </w: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2952"/>
        <w:gridCol w:w="3544"/>
      </w:tblGrid>
      <w:tr w:rsidR="0046674B" w:rsidRPr="0046674B" w:rsidTr="0046674B">
        <w:trPr>
          <w:trHeight w:val="3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</w:t>
            </w:r>
          </w:p>
        </w:tc>
      </w:tr>
      <w:tr w:rsidR="0046674B" w:rsidRPr="0046674B" w:rsidTr="0046674B">
        <w:trPr>
          <w:trHeight w:val="28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</w:tr>
    </w:tbl>
    <w:p w:rsidR="002E430B" w:rsidRPr="0046674B" w:rsidRDefault="00E75728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</w:t>
      </w:r>
      <w:r w:rsidR="002E430B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Увеличение доли детей, привлекаемых к участию в творческих мероприятиях, в общем количестве детей:</w:t>
      </w:r>
    </w:p>
    <w:p w:rsidR="000944D5" w:rsidRPr="0046674B" w:rsidRDefault="000944D5" w:rsidP="004667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(процентов)</w:t>
      </w: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3544"/>
      </w:tblGrid>
      <w:tr w:rsidR="0046674B" w:rsidRPr="0046674B" w:rsidTr="0046674B">
        <w:trPr>
          <w:trHeight w:val="2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6674B" w:rsidRPr="0046674B" w:rsidRDefault="0046674B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74B" w:rsidRPr="0046674B" w:rsidRDefault="0046674B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4B" w:rsidRPr="0046674B" w:rsidRDefault="0046674B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</w:t>
            </w:r>
          </w:p>
        </w:tc>
      </w:tr>
      <w:tr w:rsidR="0046674B" w:rsidRPr="0046674B" w:rsidTr="0046674B">
        <w:trPr>
          <w:trHeight w:val="2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6674B" w:rsidRPr="0046674B" w:rsidRDefault="0046674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4B" w:rsidRPr="0046674B" w:rsidRDefault="0046674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B" w:rsidRPr="0046674B" w:rsidRDefault="0046674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</w:tr>
    </w:tbl>
    <w:p w:rsidR="000944D5" w:rsidRPr="0046674B" w:rsidRDefault="000944D5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944D5" w:rsidRPr="0046674B" w:rsidRDefault="000944D5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Среднесписочная ч</w:t>
      </w:r>
      <w:r w:rsidR="00AB1AA0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исленность работников учреждения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культуры:</w:t>
      </w:r>
    </w:p>
    <w:p w:rsidR="00425670" w:rsidRPr="0046674B" w:rsidRDefault="00425670" w:rsidP="004667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(человек)</w:t>
      </w: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2978"/>
        <w:gridCol w:w="3400"/>
      </w:tblGrid>
      <w:tr w:rsidR="0046674B" w:rsidRPr="0046674B" w:rsidTr="0046674B">
        <w:trPr>
          <w:trHeight w:val="2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</w:t>
            </w:r>
          </w:p>
        </w:tc>
      </w:tr>
      <w:tr w:rsidR="0046674B" w:rsidRPr="0046674B" w:rsidTr="0046674B">
        <w:trPr>
          <w:trHeight w:val="2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25670" w:rsidRPr="0046674B" w:rsidRDefault="008056C7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70" w:rsidRPr="0046674B" w:rsidRDefault="00425670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8,0</w:t>
            </w:r>
          </w:p>
        </w:tc>
      </w:tr>
    </w:tbl>
    <w:p w:rsidR="002E430B" w:rsidRPr="0046674B" w:rsidRDefault="00E75728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</w:t>
      </w:r>
      <w:r w:rsidR="002E430B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Увеличение количества предоставляемых дополнительных услуг учреждениями культуры:</w:t>
      </w: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969"/>
        <w:gridCol w:w="3418"/>
      </w:tblGrid>
      <w:tr w:rsidR="0046674B" w:rsidRPr="0046674B" w:rsidTr="0046674B">
        <w:trPr>
          <w:trHeight w:val="23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</w:t>
            </w:r>
          </w:p>
        </w:tc>
      </w:tr>
      <w:tr w:rsidR="0046674B" w:rsidRPr="0046674B" w:rsidTr="0046674B">
        <w:trPr>
          <w:trHeight w:val="227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70" w:rsidRPr="0046674B" w:rsidRDefault="00425670" w:rsidP="00FC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2,0</w:t>
            </w:r>
          </w:p>
        </w:tc>
      </w:tr>
    </w:tbl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Мерами, обеспечивающими достижение целевых показателей (индикаторов) развития сферы культуры, являются: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Создание механизма стим</w:t>
      </w:r>
      <w:r w:rsidR="005F51CD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улирования работников учреждения культуры, оказывающего услуги (выполняющего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</w:t>
      </w:r>
      <w:r w:rsidR="008D4EF0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муниципальных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услуг;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Поэтапный рост опл</w:t>
      </w:r>
      <w:r w:rsidR="0084774A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аты труда работников учреждения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культуры, достижение целевых показателей по доведению уровня оплаты труда (средней заработ</w:t>
      </w:r>
      <w:r w:rsidR="0084774A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платы) работников учреждения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культуры до средней заработной платы по экономике Приморского края;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Повышение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конкурентоспособных специалистов и менеджеров, сохранение и развитие кадрового потенциала работников сферы культуры;</w:t>
      </w:r>
    </w:p>
    <w:p w:rsidR="00847216" w:rsidRPr="0046674B" w:rsidRDefault="00847216" w:rsidP="000822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641329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E430B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Улучшение материально-технической</w:t>
      </w:r>
      <w:r w:rsidR="0008226D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базы созданного учреждения культуры.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IV. Мероприятия по совершенствованию оп</w:t>
      </w:r>
      <w:r w:rsidR="006D7A52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латы труда работников учреждения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культуры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Разработка и проведение мероприятий по совершенствованию оп</w:t>
      </w:r>
      <w:r w:rsidR="00847216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латы труда работников учреждения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культуры должна осуществляться с учето</w:t>
      </w:r>
      <w:r w:rsid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 </w:t>
      </w:r>
      <w:hyperlink r:id="rId10" w:anchor="/document/70269234/entry/60" w:history="1">
        <w:r w:rsidRPr="004667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Программы</w:t>
        </w:r>
      </w:hyperlink>
      <w:r w:rsid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поэтапного совершенствования системы оплаты труда в муниципальных) учреждениях </w:t>
      </w:r>
      <w:r w:rsid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2012-2018 годы, утвержденной </w:t>
      </w:r>
      <w:hyperlink r:id="rId11" w:anchor="/document/70269234/entry/0" w:history="1">
        <w:r w:rsidRPr="004667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распоряжением</w:t>
        </w:r>
      </w:hyperlink>
      <w:r w:rsidR="00641329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Правительства Российской Федерации от 26 ноября 2012 года N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tbl>
      <w:tblPr>
        <w:tblpPr w:leftFromText="180" w:rightFromText="180" w:vertAnchor="text" w:horzAnchor="margin" w:tblpY="2906"/>
        <w:tblW w:w="9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6674B" w:rsidRPr="0046674B" w:rsidTr="007D756D">
        <w:trPr>
          <w:trHeight w:val="452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D" w:rsidRPr="0046674B" w:rsidRDefault="007D756D" w:rsidP="007D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D" w:rsidRPr="0046674B" w:rsidRDefault="007D756D" w:rsidP="007D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D" w:rsidRPr="0046674B" w:rsidRDefault="007D756D" w:rsidP="007D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</w:t>
            </w:r>
          </w:p>
        </w:tc>
      </w:tr>
      <w:tr w:rsidR="0046674B" w:rsidRPr="0046674B" w:rsidTr="007D756D">
        <w:trPr>
          <w:trHeight w:val="42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6D" w:rsidRPr="0046674B" w:rsidRDefault="007D756D" w:rsidP="007D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91,3%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6D" w:rsidRPr="0046674B" w:rsidRDefault="007D756D" w:rsidP="007D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98,6%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6D" w:rsidRPr="0046674B" w:rsidRDefault="007D756D" w:rsidP="007D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</w:tr>
    </w:tbl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Показателем (индикатором), характеризующим эффективность мероприятий по совершенствованию оплаты труда работников культуры, является динамика примерных (индикаторных) значений соотношений средней заработной платы работников учреждений культуры, повышение оплаты труда которых предусмотрено </w:t>
      </w:r>
      <w:hyperlink r:id="rId12" w:anchor="/document/70170950/entry/0" w:history="1">
        <w:r w:rsidRPr="004667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Указом</w:t>
        </w:r>
      </w:hyperlink>
      <w:r w:rsidR="00641329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Президента Российской Федерации от 7 мая 2012 года N 597 "О мероприятиях по реализации государственной социальной политики", и среднемесячного дохода от трудовой деятельности в </w:t>
      </w:r>
      <w:r w:rsidR="00E75728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Прохорском сельском поселении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41329" w:rsidRPr="0046674B" w:rsidRDefault="00641329" w:rsidP="002E43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641329" w:rsidRPr="0046674B" w:rsidSect="0046674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V. 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tbl>
      <w:tblPr>
        <w:tblW w:w="140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5393"/>
        <w:gridCol w:w="3194"/>
        <w:gridCol w:w="1747"/>
        <w:gridCol w:w="3145"/>
      </w:tblGrid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46674B" w:rsidRPr="0046674B" w:rsidTr="00BA1E3E"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 Совершенствование системы оплаты труда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641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Разработка (изменение) показателей эффективности деятельности</w:t>
            </w:r>
            <w:r w:rsidR="001D7383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учреждения культуры, осуществляющего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деятельность на территории </w:t>
            </w:r>
            <w:r w:rsidR="0064132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Прохорского сельского поселения</w:t>
            </w:r>
            <w:r w:rsidR="001D7383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и его руководителя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641329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муниципальные правовые акты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641329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Комиссия 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4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Оценка эффективности деятельности учреждени</w:t>
            </w:r>
            <w:r w:rsidR="00465492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 культуры, осуществляющего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деятельность на территории </w:t>
            </w:r>
            <w:r w:rsidR="0064132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Прохорского сельского поселения</w:t>
            </w:r>
            <w:r w:rsidR="00465492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и его руководителя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641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аналитическая записка </w:t>
            </w:r>
            <w:r w:rsidR="0064132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главе администрации Прохорского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641329" w:rsidP="00641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Комиссия 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347E0D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Внесение изменений в положение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оп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лате труда работников учреждения культуры, подведомственного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64132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администрации Прохорского сельского поселения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обеспечивающих достижение показателей повышения оплаты труда в соответствии с </w:t>
            </w:r>
            <w:hyperlink r:id="rId13" w:anchor="/document/70170950/entry/0" w:history="1">
              <w:r w:rsidR="002E430B"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Указом</w:t>
              </w:r>
            </w:hyperlink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Президента Российской Федерации от 7 мая 2012 года N 597, в соответствии с актами Министерства культуры Российской Федерации и Министерства труда и социальной защиты Российской Федерации (далее - Минкультуры России и Минтруда России соответственно)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локальный акт учреждения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641329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64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  <w:r w:rsidR="0064132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6A3BC1" w:rsidP="006A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Внесение изменений в положение об оплате труда учреждения культуры, осуществляющего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деятельность на территории </w:t>
            </w:r>
            <w:r w:rsidR="0064132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Прохорского </w:t>
            </w:r>
            <w:r w:rsidR="0064132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сельского поселения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в части совершенствования системы оплаты труда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локальные нормативные акты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ежегодно,</w:t>
            </w:r>
          </w:p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641329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641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1.</w:t>
            </w:r>
            <w:r w:rsidR="0064132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641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анализа и мониторинга расходов на содержан</w:t>
            </w:r>
            <w:r w:rsidR="00C6208C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ие и функционирование учреждения культуры, осуществляющего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деятельность на территории </w:t>
            </w:r>
            <w:r w:rsidR="0064132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Прохорского сельского поселения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в целях привлечения средств за счет сокращения неэффективных расходов на повышение заработной платы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641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аналитическая записка </w:t>
            </w:r>
            <w:r w:rsidR="00C6208C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главе администрации</w:t>
            </w:r>
            <w:r w:rsidR="0064132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Прохорского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0C79BF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Учреждение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D7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D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Привлечение средств от иной приносящей доход деятельности на повышение зарабо</w:t>
            </w:r>
            <w:r w:rsidR="000C79BF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тной платы работников учреждения культуры, осуществляющего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деятельность на территории 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Прохорского сельского поселения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56583A" w:rsidP="002D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отчет директора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учреждения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D7589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Учреждения культуры</w:t>
            </w:r>
          </w:p>
        </w:tc>
      </w:tr>
      <w:tr w:rsidR="0046674B" w:rsidRPr="0046674B" w:rsidTr="00BA1E3E"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56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Контроль за выполнением в полном объеме мер по созданию прозрачного меха</w:t>
            </w:r>
            <w:r w:rsidR="0056583A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низма оплаты труда руководителя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D71A6A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муниципального учреждения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D71A6A" w:rsidP="00D7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Заключение трудового договора с руководителем учреждения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в соответствии с </w:t>
            </w:r>
            <w:hyperlink r:id="rId14" w:anchor="/document/70359584/entry/0" w:history="1">
              <w:r w:rsidR="002E430B"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постановлением</w:t>
              </w:r>
            </w:hyperlink>
            <w:r w:rsidR="0055366E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Правительства Российской Федерации от 12 апреля 2013 года N 329 "О типовой форме трудового договора с руководителем государственного (муниципального) учреждения"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D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приведение трудовых договоров с руководителями учреждений культуры в соответствие с типовой формой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ежегодно,</w:t>
            </w:r>
          </w:p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D7589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D73147" w:rsidP="002D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Представление руководителем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муниципального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учреждения культуры, осуществляющего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деятельность на территории 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Прохорского 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сельского поселения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сведений о доходах, об имуществе и обязательствах имущественного характера, его супруги (супруга) и несовершеннолетних детей, а также граждан, претендующих на занятие соответствующей должности, и размещение их в системе Интернет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100% размещенные в сети Интернет справки о доходах, об имуществе и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обязательствах имущественного характера руководителей учреждений культуры, создание прозрачного механизма оплаты труда руководителей учреждений культуры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D7589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2.3.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D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руководителя </w:t>
            </w:r>
            <w:r w:rsidR="0010012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муниципального 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культуры, осуществляющего деятельность на территории 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Прохорского сельского поселения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его супруги (супруга) и 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акты проверок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D7589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553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Соблюдение установленных соотношений средней заработной платы </w:t>
            </w:r>
            <w:r w:rsidR="0010012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руководителя учреждения культуры, осуществляющего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деятельность на территории 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Прохорского сельского поселения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и средней заработной платы работников учреждений в кратности от 1 до 8,  (далее - уровень соотношения)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муниципальные правовые акты, поддержание уровня соотношения,</w:t>
            </w:r>
          </w:p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D7589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D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Разработка и утверждение методики оц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енки деятельности руководителя  муниципального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учреждения культуры, осуществляющего деятельность на территории 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Прохорского сельского поселения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для расчета премии и стимулирующей надбавки к должностному окладу, предусматривающей в качестве одного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из критериев деятельности руководителя для осуществления стимулирующих выплат соотношение средней заработной платы работников данного учреждения со средней заработной платой в </w:t>
            </w:r>
            <w:r w:rsidR="00E75728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Прохорском сельском поселении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и проведение мониторинга за соблюдением данного требования в учреждениях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муниципальные правовые акты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D7589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3. Развитие кадрового </w:t>
            </w:r>
            <w:r w:rsidR="00BE42C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потенциала работников 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D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Внедрение показателей эффективности деятельно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сти работников </w:t>
            </w:r>
            <w:r w:rsidR="003169DD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муниципального 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 в соответствии с </w:t>
            </w:r>
            <w:hyperlink r:id="rId15" w:anchor="/document/70427762/entry/2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методическими рекомендациями</w:t>
              </w:r>
            </w:hyperlink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утвержденными </w:t>
            </w:r>
            <w:hyperlink r:id="rId16" w:anchor="/document/70427762/entry/0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приказом</w:t>
              </w:r>
            </w:hyperlink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Минкультуры России от 28 июня 2013 года N 920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нормативные правовые акты Приморского края, департамента культуры Приморского края, 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Прохорского сельского поселения ,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локальные нормативные акты учреждений культуры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D7589" w:rsidP="002D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Прохорского сельского поселения с участием 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учреждений (по согласованию)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Анализ лучших практик внедрения показателей эффективности деятельно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сти работников муниципальных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учреждений культуры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D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отчет </w:t>
            </w:r>
            <w:r w:rsidR="002D7589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учреждения в администрацию Прохорского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 два раза в год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D7589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Прохорского сельского поселения 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учреждений (по согласованию)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Актуализация квалификационных требований и компет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енций, необходимых для оказания муниципальных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услуг (выполнения работ), проведение мероприятий по повышению квалификации и переподготовке работников</w:t>
            </w:r>
            <w:r w:rsidR="00045E04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муниципального 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 целью обеспечения соответствия работников современным квалификационным требованиям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1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план мероприятий 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учреждения </w:t>
            </w:r>
            <w:r w:rsidR="00887E13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культуры по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повышению квалификации, отчет в 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Администрацию Прохорского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14556" w:rsidP="0071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Прохорского сельского поселения 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учреждени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14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3.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1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</w:t>
            </w:r>
            <w:r w:rsidR="00887E13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муниципального учреждения культуры, осуществляющего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деятельность на территории 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Прохорского сельского поселения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с учетом предельной доли расходов на оплату их труда в фонде оплаты труда учреждения - не более 40 процентов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муниципальные правовые акты, поддержание установленной доли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1455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D16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Обеспечение соотношения средней заработной платы основного и вспомогательного персонала </w:t>
            </w:r>
            <w:r w:rsidR="00D161A1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муниципального 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до 1:0,7-1:0,5 с учетом типа учреждения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1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отчет 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учреждения </w:t>
            </w:r>
            <w:r w:rsidR="00152FDF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культуры в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Администрацию Прохорского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1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ежегодно,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14556" w:rsidP="0071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Прохорского сельского поселения 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учрежден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ия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46674B" w:rsidRPr="0046674B" w:rsidTr="00BA1E3E"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Мониторинг достижения целевых показателей средней заработной платы работников сферы культуры, определенных </w:t>
            </w:r>
            <w:hyperlink r:id="rId17" w:anchor="/document/70170950/entry/0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Указом</w:t>
              </w:r>
            </w:hyperlink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1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Обеспечение деятельности постоянно действующей рабочей группы 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Администрации Прохорского сельского поселения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оценке реализации мероприятий по повышению оплаты труд</w:t>
            </w:r>
            <w:r w:rsidR="00152FDF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 работников 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культуры, осуществля</w:t>
            </w:r>
            <w:r w:rsidR="00152FDF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ющего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деятельность на территории Прохорского сельского поселения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и оценке результатов реализации "дорожной карты"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протоколы заседаний рабочей группы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1455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предварительного анализа уровня и динамики зарабо</w:t>
            </w:r>
            <w:r w:rsidR="00723F42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тной платы работников 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культуры, повышение заработной платы которых предусмотрено </w:t>
            </w:r>
            <w:proofErr w:type="spellStart"/>
            <w:r w:rsidR="00FC57C7" w:rsidRPr="0046674B">
              <w:rPr>
                <w:color w:val="000000" w:themeColor="text1"/>
              </w:rPr>
              <w:fldChar w:fldCharType="begin"/>
            </w:r>
            <w:r w:rsidR="00FC57C7" w:rsidRPr="0046674B">
              <w:rPr>
                <w:color w:val="000000" w:themeColor="text1"/>
              </w:rPr>
              <w:instrText xml:space="preserve"> HYPERLINK "http://ivo.garant.ru/" \l "/document/70170950/entry/0" </w:instrText>
            </w:r>
            <w:r w:rsidR="00FC57C7" w:rsidRPr="0046674B">
              <w:rPr>
                <w:color w:val="000000" w:themeColor="text1"/>
              </w:rPr>
              <w:fldChar w:fldCharType="separate"/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Указом</w:t>
            </w:r>
            <w:r w:rsidR="00FC57C7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fldChar w:fldCharType="end"/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Президента</w:t>
            </w:r>
            <w:proofErr w:type="spellEnd"/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Российской Федерации от 7 мая 2012 года N 597 "О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мероприятиях по реализации государственной социальной политики" (далее - Указ N 597), с учетом ситуации на рынке труда, в том числе в части дефицита (избытка) кадров, с целью недопущения отставания от установленных </w:t>
            </w:r>
            <w:proofErr w:type="spellStart"/>
            <w:r w:rsidR="00FC57C7" w:rsidRPr="0046674B">
              <w:rPr>
                <w:color w:val="000000" w:themeColor="text1"/>
              </w:rPr>
              <w:fldChar w:fldCharType="begin"/>
            </w:r>
            <w:r w:rsidR="00FC57C7" w:rsidRPr="0046674B">
              <w:rPr>
                <w:color w:val="000000" w:themeColor="text1"/>
              </w:rPr>
              <w:instrText xml:space="preserve"> HYPERLINK "http://ivo.garant.ru/" \l "/document/70292738/entry/1000" </w:instrText>
            </w:r>
            <w:r w:rsidR="00FC57C7" w:rsidRPr="0046674B">
              <w:rPr>
                <w:color w:val="000000" w:themeColor="text1"/>
              </w:rPr>
              <w:fldChar w:fldCharType="separate"/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Планом</w:t>
            </w:r>
            <w:r w:rsidR="00FC57C7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fldChar w:fldCharType="end"/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мероприятий</w:t>
            </w:r>
            <w:proofErr w:type="spellEnd"/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("дорожной картой") "Изменения в отраслях социальной сферы, направленные на повышение эффективности сферы культуры", утвержденным </w:t>
            </w:r>
            <w:proofErr w:type="spellStart"/>
            <w:r w:rsidR="00FC57C7" w:rsidRPr="0046674B">
              <w:rPr>
                <w:color w:val="000000" w:themeColor="text1"/>
              </w:rPr>
              <w:fldChar w:fldCharType="begin"/>
            </w:r>
            <w:r w:rsidR="00FC57C7" w:rsidRPr="0046674B">
              <w:rPr>
                <w:color w:val="000000" w:themeColor="text1"/>
              </w:rPr>
              <w:instrText xml:space="preserve"> HYPERLINK "http://ivo.garant.ru/" \l "/document/70292738/entry/0" </w:instrText>
            </w:r>
            <w:r w:rsidR="00FC57C7" w:rsidRPr="0046674B">
              <w:rPr>
                <w:color w:val="000000" w:themeColor="text1"/>
              </w:rPr>
              <w:fldChar w:fldCharType="separate"/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распоряжением</w:t>
            </w:r>
            <w:r w:rsidR="00FC57C7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fldChar w:fldCharType="end"/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Правительства</w:t>
            </w:r>
            <w:proofErr w:type="spellEnd"/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Российской Федерации от 28 декабря 2012 года N 2606-р, и региональной "дорожной картой" целевых показателей динамики повышения заработной платы работников учреждений культуры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аналитические справки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1455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1455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4.3.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1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Расчет дополнительной потребности и учет при формировании бюджета 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Прохорского сельского </w:t>
            </w:r>
            <w:r w:rsidR="00CB4180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поселения расходов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повышение оп</w:t>
            </w:r>
            <w:r w:rsidR="00CB4180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латы труда работников учреждения</w:t>
            </w:r>
            <w:r w:rsidR="00521360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культуры, осуществляющего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деятельность на территории 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Прохорского сельского поселения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в соответствии с </w:t>
            </w:r>
            <w:hyperlink r:id="rId18" w:anchor="/document/70170950/entry/0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Указом</w:t>
              </w:r>
            </w:hyperlink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N 597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проекты нормативных правовых актов 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Администрации Прохорского сельского поселения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1455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1455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Обеспечение представления форм федерального статистического наблюдения за показат</w:t>
            </w:r>
            <w:r w:rsidR="004F7E78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елями заработной платы категории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работников, повышение оплаты труда которых предусмотрено </w:t>
            </w:r>
            <w:hyperlink r:id="rId19" w:anchor="/document/70170950/entry/0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Указом</w:t>
              </w:r>
            </w:hyperlink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N 597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37454A" w:rsidP="0071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Формы статистического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наблюдения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ежеквартально, в установленные сроки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1455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Администрация 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14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  <w:r w:rsidR="00714556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Проведение мониторинга реализации мероприятий, предусмотренных "дорожной картой", и достижения целевых показателей (индикаторов) "дорожной карты"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1455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отчет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14556" w:rsidP="0071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учреждение</w:t>
            </w:r>
          </w:p>
        </w:tc>
      </w:tr>
      <w:tr w:rsidR="0046674B" w:rsidRPr="0046674B" w:rsidTr="00BA1E3E"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75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5. Независимая </w:t>
            </w:r>
            <w:r w:rsidR="00775D3C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система оценки качества работы </w:t>
            </w:r>
            <w:r w:rsidR="0025479A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муниципального 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75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  <w:r w:rsidR="00775D3C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6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Обеспечение открытости и доступности информации о деятельности </w:t>
            </w:r>
            <w:r w:rsidR="00BF146D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учрежден</w:t>
            </w:r>
            <w:r w:rsidR="00766152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ия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культуры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 офици</w:t>
            </w:r>
            <w:r w:rsidR="00816D40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ального сайта 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75D3C" w:rsidP="00775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квартал 201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C41194" w:rsidP="00775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учреждение</w:t>
            </w:r>
            <w:r w:rsidR="002E430B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 </w:t>
            </w:r>
            <w:r w:rsidR="00775D3C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Прохорского сельского поселения</w:t>
            </w:r>
          </w:p>
        </w:tc>
      </w:tr>
      <w:tr w:rsidR="0046674B" w:rsidRPr="0046674B" w:rsidTr="00BA1E3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75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Проведение мониторинга работы </w:t>
            </w:r>
            <w:r w:rsidR="00640054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культуры, формирование независимой оценки качества </w:t>
            </w:r>
            <w:r w:rsidR="00640054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его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работы, составление рейтингов деятельности в соответствии с принятыми нормативными и методическими документами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2E430B" w:rsidP="00775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публикация рейтингов деятельности, разработка и утверждение планов работы </w:t>
            </w:r>
            <w:r w:rsidR="00992EF0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775D3C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0B" w:rsidRPr="0046674B" w:rsidRDefault="00F511FA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Учреждение</w:t>
            </w:r>
            <w:r w:rsidR="00775D3C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культуры, Администрация Прохорского сельского поселения</w:t>
            </w:r>
          </w:p>
        </w:tc>
      </w:tr>
    </w:tbl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VI. Основные количественные характеристики системы оплаты труда.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параметрах зарабо</w:t>
      </w:r>
      <w:r w:rsidR="00B46B31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тной платы работников учреждения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культуры, расположенных на территории Приморского края, повышение оплаты труда которых предусмотрено Указом Президента Российской Федерации от 7 мая 2012 года N 597</w:t>
      </w:r>
    </w:p>
    <w:tbl>
      <w:tblPr>
        <w:tblW w:w="140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4955"/>
        <w:gridCol w:w="1809"/>
        <w:gridCol w:w="1620"/>
        <w:gridCol w:w="2786"/>
      </w:tblGrid>
      <w:tr w:rsidR="0046674B" w:rsidRPr="0046674B" w:rsidTr="00BA1E3E">
        <w:trPr>
          <w:trHeight w:val="860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7D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7D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D" w:rsidRPr="0046674B" w:rsidRDefault="00AB6B86" w:rsidP="007D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2019 г. </w:t>
            </w:r>
          </w:p>
          <w:p w:rsidR="00AB6B86" w:rsidRPr="0046674B" w:rsidRDefault="00AB6B86" w:rsidP="007D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B6B86" w:rsidP="007D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2020г.</w:t>
            </w:r>
          </w:p>
          <w:p w:rsidR="00AB6B86" w:rsidRPr="0046674B" w:rsidRDefault="00AB6B86" w:rsidP="007D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7D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2021г.</w:t>
            </w:r>
          </w:p>
          <w:p w:rsidR="00AB6B86" w:rsidRPr="0046674B" w:rsidRDefault="00AB6B86" w:rsidP="007D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план </w:t>
            </w:r>
          </w:p>
        </w:tc>
      </w:tr>
      <w:tr w:rsidR="0046674B" w:rsidRPr="0046674B" w:rsidTr="00BA1E3E">
        <w:trPr>
          <w:trHeight w:val="296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</w:tr>
      <w:tr w:rsidR="0046674B" w:rsidRPr="0046674B" w:rsidTr="00BA1E3E">
        <w:trPr>
          <w:trHeight w:val="1769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Норматив числа получателей услуг на 1 работника учреждения культуры (по среднесписочной численности работников)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426,97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427,23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427,65</w:t>
            </w:r>
          </w:p>
        </w:tc>
      </w:tr>
      <w:tr w:rsidR="0046674B" w:rsidRPr="0046674B" w:rsidTr="00BA1E3E">
        <w:trPr>
          <w:trHeight w:val="593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Число получателей услуг, человек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BF0FA8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BF0FA8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1590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BF0FA8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1590</w:t>
            </w:r>
          </w:p>
        </w:tc>
      </w:tr>
      <w:tr w:rsidR="0046674B" w:rsidRPr="0046674B" w:rsidTr="00BA1E3E">
        <w:trPr>
          <w:trHeight w:val="1173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Среднесписочная численность работников учреждений культуры: человек</w:t>
            </w:r>
            <w:hyperlink r:id="rId20" w:anchor="/document/48020030/entry/1111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</w:tr>
      <w:tr w:rsidR="0046674B" w:rsidRPr="0046674B" w:rsidTr="00BA1E3E">
        <w:trPr>
          <w:trHeight w:val="890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6.3.1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 в учреждениях федеральной формы собственности, человек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A25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25DEA" w:rsidP="00A25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46674B" w:rsidRPr="0046674B" w:rsidTr="00BA1E3E">
        <w:trPr>
          <w:trHeight w:val="87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Численность населения субъекта Российской Федерации, человек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46674B" w:rsidRPr="0046674B" w:rsidTr="00BA1E3E">
        <w:trPr>
          <w:trHeight w:val="2080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6.5.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Соотношение средней заработной платы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</w:p>
        </w:tc>
      </w:tr>
      <w:tr w:rsidR="0046674B" w:rsidRPr="0046674B" w:rsidTr="00BA1E3E">
        <w:trPr>
          <w:trHeight w:val="206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6.5.1.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Программе поэтапного совершенствования систем оплаты труда в государственных (му</w:t>
            </w:r>
            <w:r w:rsidR="00A25DEA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ниципальных) учреждениях на 2019-2021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</w:tr>
      <w:tr w:rsidR="0046674B" w:rsidRPr="0046674B" w:rsidTr="00BA1E3E">
        <w:trPr>
          <w:trHeight w:val="206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6.5.2.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</w:tr>
      <w:tr w:rsidR="0046674B" w:rsidRPr="0046674B" w:rsidTr="00BA1E3E">
        <w:trPr>
          <w:trHeight w:val="296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6.5.3.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Приморскому краю, %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6674B" w:rsidRPr="0046674B" w:rsidTr="00BA1E3E">
        <w:trPr>
          <w:trHeight w:val="148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6.6.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Средняя заработная плата работников по субъекту Российской Федерации, рублей / среднемесячный доход от трудовой деятельности по субъекту Российской Федерации, рублей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38056,80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39902,40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25DEA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42360,10</w:t>
            </w:r>
          </w:p>
        </w:tc>
      </w:tr>
      <w:tr w:rsidR="0046674B" w:rsidRPr="0046674B" w:rsidTr="00BA1E3E">
        <w:trPr>
          <w:trHeight w:val="593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6.7.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Темп роста к предыдущему году, %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B03BC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108,00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B03BC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104,85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B03BC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106,16</w:t>
            </w:r>
          </w:p>
        </w:tc>
      </w:tr>
      <w:tr w:rsidR="0046674B" w:rsidRPr="0046674B" w:rsidTr="00BA1E3E">
        <w:trPr>
          <w:trHeight w:val="1173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6.8.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Среднемесячная зарабо</w:t>
            </w:r>
            <w:r w:rsidR="0098054C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тная плата работников 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культуры, рублей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44675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39092,00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44675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41437,52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44675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43923,77</w:t>
            </w:r>
          </w:p>
        </w:tc>
      </w:tr>
      <w:tr w:rsidR="0046674B" w:rsidRPr="0046674B" w:rsidTr="00BA1E3E">
        <w:trPr>
          <w:trHeight w:val="593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6.9.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Темп роста к предыдущему году, %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44675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102,7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44675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44675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103,7</w:t>
            </w:r>
          </w:p>
        </w:tc>
      </w:tr>
      <w:tr w:rsidR="0046674B" w:rsidRPr="0046674B" w:rsidTr="00BA1E3E">
        <w:trPr>
          <w:trHeight w:val="1769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6.10.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44675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44675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44675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6674B" w:rsidRPr="0046674B" w:rsidTr="00BA1E3E">
        <w:trPr>
          <w:trHeight w:val="593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30,2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30,2</w:t>
            </w:r>
          </w:p>
        </w:tc>
      </w:tr>
      <w:tr w:rsidR="0046674B" w:rsidRPr="0046674B" w:rsidTr="00BA1E3E">
        <w:trPr>
          <w:trHeight w:val="87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Фонд оплаты труда с начислениями, млн. рублей</w:t>
            </w:r>
            <w:hyperlink r:id="rId21" w:anchor="/document/48020030/entry/2222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**</w:t>
              </w:r>
            </w:hyperlink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0,31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0,32</w:t>
            </w:r>
          </w:p>
        </w:tc>
      </w:tr>
      <w:tr w:rsidR="0046674B" w:rsidRPr="0046674B" w:rsidTr="00BA1E3E">
        <w:trPr>
          <w:trHeight w:val="890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6.12.1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 в учреждениях федеральной формы собственности, млн. рублей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6674B" w:rsidRPr="0046674B" w:rsidTr="00BA1E3E">
        <w:trPr>
          <w:trHeight w:val="87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Прирост фонда оп</w:t>
            </w:r>
            <w:r w:rsidR="00D77EC2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латы труда с начислениями к 2</w:t>
            </w:r>
            <w:r w:rsidR="00F3367C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018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г., млн. рублей</w:t>
            </w:r>
            <w:hyperlink r:id="rId22" w:anchor="/document/48020030/entry/3333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***</w:t>
              </w:r>
            </w:hyperlink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0,01</w:t>
            </w:r>
          </w:p>
        </w:tc>
      </w:tr>
      <w:tr w:rsidR="0046674B" w:rsidRPr="0046674B" w:rsidTr="00BA1E3E">
        <w:trPr>
          <w:trHeight w:val="296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6674B" w:rsidRPr="0046674B" w:rsidTr="00BA1E3E">
        <w:trPr>
          <w:trHeight w:val="206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6.13.1.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 счет средств консолидированного бюджета субъекта Российской Федерации, включая дотацию из федерального бюджета, млн. рублей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D77EC2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6674B" w:rsidRPr="0046674B" w:rsidTr="00BA1E3E">
        <w:trPr>
          <w:trHeight w:val="148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6.13.1.1.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Включая средства, полученные за счет проведения мероприятий по оптимизации, (млн. руб.), из них: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6674B" w:rsidRPr="0046674B" w:rsidTr="00BA1E3E">
        <w:trPr>
          <w:trHeight w:val="578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6.13.1.1.1.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 реструктуризации сети, млн. рублей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6674B" w:rsidRPr="0046674B" w:rsidTr="00BA1E3E">
        <w:trPr>
          <w:trHeight w:val="1769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6.13.1.1.2.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6674B" w:rsidRPr="0046674B" w:rsidTr="00BA1E3E">
        <w:trPr>
          <w:trHeight w:val="1188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6.13.1.1.3.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 сокращения и оптимизации р</w:t>
            </w:r>
            <w:r w:rsidR="00F3367C"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асходов на содержание учреждения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млн. рублей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6674B" w:rsidRPr="0046674B" w:rsidTr="00BA1E3E">
        <w:trPr>
          <w:trHeight w:val="87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6.13.2.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  <w:tr w:rsidR="0046674B" w:rsidRPr="0046674B" w:rsidTr="00BA1E3E">
        <w:trPr>
          <w:trHeight w:val="890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6.13.3.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 счет иных источников (решений), включая корректировку консолидированного бюджета субъекта </w:t>
            </w: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Российской Федерации на соответствующий год, млн. рублей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0,01</w:t>
            </w:r>
          </w:p>
        </w:tc>
      </w:tr>
      <w:tr w:rsidR="0046674B" w:rsidRPr="0046674B" w:rsidTr="00BA1E3E">
        <w:trPr>
          <w:trHeight w:val="148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6.14.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Итого, объем средств, предусмотренный на повышение оплаты труда, млн. руб. (</w:t>
            </w:r>
            <w:hyperlink r:id="rId23" w:anchor="/document/48020030/entry/6131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стр. 6.13.1</w:t>
              </w:r>
            </w:hyperlink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+ </w:t>
            </w:r>
            <w:hyperlink r:id="rId24" w:anchor="/document/48020030/entry/6132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6.13.2</w:t>
              </w:r>
            </w:hyperlink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+ </w:t>
            </w:r>
            <w:hyperlink r:id="rId25" w:anchor="/document/48020030/entry/6133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6.13.3</w:t>
              </w:r>
            </w:hyperlink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F3367C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0,01</w:t>
            </w:r>
          </w:p>
        </w:tc>
      </w:tr>
      <w:tr w:rsidR="0046674B" w:rsidRPr="0046674B" w:rsidTr="00BA1E3E">
        <w:trPr>
          <w:trHeight w:val="2065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6.15.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86" w:rsidRPr="0046674B" w:rsidRDefault="00AB6B86" w:rsidP="002E4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</w:t>
            </w:r>
            <w:hyperlink r:id="rId26" w:anchor="/document/48020030/entry/61311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стр. 6.13.1.1</w:t>
              </w:r>
            </w:hyperlink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/ </w:t>
            </w:r>
            <w:hyperlink r:id="rId27" w:anchor="/document/48020030/entry/614" w:history="1">
              <w:r w:rsidRPr="0046674B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стр. 6.14</w:t>
              </w:r>
            </w:hyperlink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* 100%)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5F51CD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5F51CD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6" w:rsidRPr="0046674B" w:rsidRDefault="005F51CD" w:rsidP="002E4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67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0,01</w:t>
            </w:r>
          </w:p>
        </w:tc>
      </w:tr>
    </w:tbl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* Численность</w:t>
      </w:r>
      <w:r w:rsidR="005F51CD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2018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 указана без учета работников учреждений культуры федеральной формы собственности (по данным Федеральной службы статистики по Приморскому общее количество работников учреждений культуры Приморского края - 6307 человек).</w:t>
      </w:r>
    </w:p>
    <w:p w:rsidR="002E430B" w:rsidRPr="0046674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** Фо</w:t>
      </w:r>
      <w:r w:rsidR="005F51CD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нд оплаты труда с начислениями за 2018 год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 без учета фонда оплаты труда работников учреждений культуры федеральной формы собственности (по данным Федеральной службы статистики по Приморскому краю фонд оплаты труда работников учреждений культур</w:t>
      </w:r>
      <w:r w:rsidR="005F51CD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 всех форм собственности в 2018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составил 1953,2 млн. рублей).</w:t>
      </w:r>
    </w:p>
    <w:p w:rsidR="002E430B" w:rsidRPr="002E430B" w:rsidRDefault="002E430B" w:rsidP="002E4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*** Прирост фонда оп</w:t>
      </w:r>
      <w:r w:rsidR="005F51CD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латы труда с начислениями к 2018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рассчитан с учетом фонда</w:t>
      </w:r>
      <w:r w:rsidR="005F51CD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оплаты труда в 2019 году работников учреждения</w:t>
      </w:r>
      <w:r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культуры</w:t>
      </w:r>
      <w:r w:rsidR="005F51CD" w:rsidRPr="004667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Прохорского сельского поселения</w:t>
      </w:r>
      <w:r w:rsidRPr="002E43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2E430B" w:rsidRPr="002E430B" w:rsidRDefault="002E430B">
      <w:pPr>
        <w:rPr>
          <w:rFonts w:ascii="Times New Roman" w:hAnsi="Times New Roman" w:cs="Times New Roman"/>
          <w:sz w:val="26"/>
          <w:szCs w:val="26"/>
        </w:rPr>
      </w:pPr>
    </w:p>
    <w:sectPr w:rsidR="002E430B" w:rsidRPr="002E430B" w:rsidSect="000B174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22E74"/>
    <w:multiLevelType w:val="hybridMultilevel"/>
    <w:tmpl w:val="95D8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0B"/>
    <w:rsid w:val="00045E04"/>
    <w:rsid w:val="0008226D"/>
    <w:rsid w:val="000944D5"/>
    <w:rsid w:val="000B174F"/>
    <w:rsid w:val="000C79BF"/>
    <w:rsid w:val="0010012B"/>
    <w:rsid w:val="00152FDF"/>
    <w:rsid w:val="001D7383"/>
    <w:rsid w:val="0025479A"/>
    <w:rsid w:val="0026079F"/>
    <w:rsid w:val="00272C2D"/>
    <w:rsid w:val="002868E9"/>
    <w:rsid w:val="002D7589"/>
    <w:rsid w:val="002E430B"/>
    <w:rsid w:val="0030462E"/>
    <w:rsid w:val="003169DD"/>
    <w:rsid w:val="00344C97"/>
    <w:rsid w:val="00347E0D"/>
    <w:rsid w:val="0037454A"/>
    <w:rsid w:val="00413FE7"/>
    <w:rsid w:val="00425670"/>
    <w:rsid w:val="004400AE"/>
    <w:rsid w:val="004423B1"/>
    <w:rsid w:val="00446752"/>
    <w:rsid w:val="00465492"/>
    <w:rsid w:val="0046674B"/>
    <w:rsid w:val="0046750D"/>
    <w:rsid w:val="004F2377"/>
    <w:rsid w:val="004F7E78"/>
    <w:rsid w:val="00521360"/>
    <w:rsid w:val="0055366E"/>
    <w:rsid w:val="0056583A"/>
    <w:rsid w:val="005F51CD"/>
    <w:rsid w:val="00640054"/>
    <w:rsid w:val="00641329"/>
    <w:rsid w:val="00677441"/>
    <w:rsid w:val="006A3BC1"/>
    <w:rsid w:val="006D7A52"/>
    <w:rsid w:val="006E364A"/>
    <w:rsid w:val="006F008D"/>
    <w:rsid w:val="00714556"/>
    <w:rsid w:val="00723F42"/>
    <w:rsid w:val="00766152"/>
    <w:rsid w:val="00775D3C"/>
    <w:rsid w:val="007D756D"/>
    <w:rsid w:val="008056C7"/>
    <w:rsid w:val="00810151"/>
    <w:rsid w:val="00816D40"/>
    <w:rsid w:val="00847216"/>
    <w:rsid w:val="0084774A"/>
    <w:rsid w:val="00857570"/>
    <w:rsid w:val="008667B8"/>
    <w:rsid w:val="00887E13"/>
    <w:rsid w:val="008D4EF0"/>
    <w:rsid w:val="008F54C1"/>
    <w:rsid w:val="0098054C"/>
    <w:rsid w:val="00992EF0"/>
    <w:rsid w:val="009D2C2A"/>
    <w:rsid w:val="009D4AF6"/>
    <w:rsid w:val="00A17987"/>
    <w:rsid w:val="00A25DEA"/>
    <w:rsid w:val="00AB1AA0"/>
    <w:rsid w:val="00AB6B86"/>
    <w:rsid w:val="00B03BCC"/>
    <w:rsid w:val="00B46B31"/>
    <w:rsid w:val="00BA1E3E"/>
    <w:rsid w:val="00BD583B"/>
    <w:rsid w:val="00BE42C9"/>
    <w:rsid w:val="00BF0FA8"/>
    <w:rsid w:val="00BF146D"/>
    <w:rsid w:val="00C169B4"/>
    <w:rsid w:val="00C41194"/>
    <w:rsid w:val="00C6208C"/>
    <w:rsid w:val="00CB4180"/>
    <w:rsid w:val="00D161A1"/>
    <w:rsid w:val="00D333E6"/>
    <w:rsid w:val="00D358D0"/>
    <w:rsid w:val="00D71A6A"/>
    <w:rsid w:val="00D73147"/>
    <w:rsid w:val="00D77EC2"/>
    <w:rsid w:val="00DA2EB7"/>
    <w:rsid w:val="00DD21FB"/>
    <w:rsid w:val="00E75728"/>
    <w:rsid w:val="00F134E9"/>
    <w:rsid w:val="00F15A7D"/>
    <w:rsid w:val="00F3367C"/>
    <w:rsid w:val="00F511FA"/>
    <w:rsid w:val="00F642D8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5E25"/>
  <w15:docId w15:val="{B56B2583-982F-408A-9256-77CE8F3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7D"/>
  </w:style>
  <w:style w:type="paragraph" w:styleId="4">
    <w:name w:val="heading 4"/>
    <w:basedOn w:val="a"/>
    <w:link w:val="40"/>
    <w:uiPriority w:val="9"/>
    <w:qFormat/>
    <w:rsid w:val="002E4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43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E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6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06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01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0924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Лопатко Е.А.</cp:lastModifiedBy>
  <cp:revision>2</cp:revision>
  <cp:lastPrinted>2019-07-29T02:23:00Z</cp:lastPrinted>
  <dcterms:created xsi:type="dcterms:W3CDTF">2019-07-29T02:26:00Z</dcterms:created>
  <dcterms:modified xsi:type="dcterms:W3CDTF">2019-07-29T02:26:00Z</dcterms:modified>
</cp:coreProperties>
</file>